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90FD5">
      <w:pPr>
        <w:keepNext w:val="0"/>
        <w:keepLines w:val="0"/>
        <w:pageBreakBefore w:val="0"/>
        <w:widowControl w:val="0"/>
        <w:kinsoku/>
        <w:wordWrap/>
        <w:overflowPunct w:val="0"/>
        <w:topLinePunct w:val="0"/>
        <w:autoSpaceDE/>
        <w:autoSpaceDN/>
        <w:bidi w:val="0"/>
        <w:adjustRightInd/>
        <w:snapToGrid/>
        <w:spacing w:beforeAutospacing="0" w:line="560" w:lineRule="exact"/>
        <w:ind w:left="0" w:leftChars="0" w:firstLine="0" w:firstLineChars="0"/>
        <w:jc w:val="both"/>
        <w:textAlignment w:val="auto"/>
        <w:outlineLvl w:val="9"/>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w:t>
      </w:r>
    </w:p>
    <w:p w14:paraId="46B1F3AE">
      <w:pPr>
        <w:keepNext w:val="0"/>
        <w:keepLines w:val="0"/>
        <w:pageBreakBefore w:val="0"/>
        <w:widowControl w:val="0"/>
        <w:kinsoku/>
        <w:wordWrap/>
        <w:overflowPunct w:val="0"/>
        <w:topLinePunct w:val="0"/>
        <w:autoSpaceDE/>
        <w:autoSpaceDN/>
        <w:bidi w:val="0"/>
        <w:adjustRightInd/>
        <w:snapToGrid/>
        <w:spacing w:beforeAutospacing="0" w:line="560" w:lineRule="exact"/>
        <w:ind w:left="0" w:leftChars="0" w:firstLine="0" w:firstLineChars="0"/>
        <w:jc w:val="center"/>
        <w:textAlignment w:val="auto"/>
        <w:outlineLvl w:val="9"/>
        <w:rPr>
          <w:rFonts w:hint="eastAsia" w:ascii="Times New Roman" w:hAnsi="Times New Roman" w:eastAsia="方正小标宋简体"/>
          <w:color w:val="auto"/>
          <w:spacing w:val="0"/>
          <w:sz w:val="44"/>
          <w:highlight w:val="none"/>
        </w:rPr>
      </w:pPr>
    </w:p>
    <w:p w14:paraId="06624787">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imes New Roman" w:hAnsi="Times New Roman" w:eastAsia="方正小标宋简体" w:cs="方正小标宋简体"/>
          <w:color w:val="auto"/>
          <w:spacing w:val="0"/>
          <w:sz w:val="44"/>
          <w:szCs w:val="44"/>
          <w:highlight w:val="none"/>
          <w:lang w:val="en-US" w:eastAsia="zh-CN"/>
        </w:rPr>
      </w:pPr>
      <w:r>
        <w:rPr>
          <w:rFonts w:hint="eastAsia" w:ascii="方正小标宋简体" w:hAnsi="方正小标宋简体" w:eastAsia="方正小标宋简体" w:cs="方正小标宋简体"/>
          <w:color w:val="auto"/>
          <w:spacing w:val="0"/>
          <w:sz w:val="44"/>
          <w:szCs w:val="44"/>
          <w:highlight w:val="none"/>
          <w:lang w:val="en-US" w:eastAsia="zh-CN"/>
        </w:rPr>
        <w:t>2026</w:t>
      </w:r>
      <w:r>
        <w:rPr>
          <w:rFonts w:hint="eastAsia" w:ascii="Times New Roman" w:hAnsi="Times New Roman" w:eastAsia="方正小标宋简体" w:cs="方正小标宋简体"/>
          <w:color w:val="auto"/>
          <w:spacing w:val="0"/>
          <w:sz w:val="44"/>
          <w:szCs w:val="44"/>
          <w:highlight w:val="none"/>
          <w:lang w:val="en-US" w:eastAsia="zh-CN"/>
        </w:rPr>
        <w:t>年度山东省人力资源社会保障课题</w:t>
      </w:r>
    </w:p>
    <w:p w14:paraId="11DAE2E8">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0" w:firstLineChars="0"/>
        <w:jc w:val="center"/>
        <w:textAlignment w:val="auto"/>
        <w:rPr>
          <w:rFonts w:hint="eastAsia" w:ascii="Times New Roman" w:hAnsi="Times New Roman" w:eastAsia="方正小标宋简体" w:cs="方正小标宋简体"/>
          <w:color w:val="auto"/>
          <w:spacing w:val="0"/>
          <w:sz w:val="44"/>
          <w:szCs w:val="44"/>
          <w:highlight w:val="none"/>
          <w:lang w:val="en-US" w:eastAsia="zh-CN"/>
        </w:rPr>
      </w:pPr>
      <w:r>
        <w:rPr>
          <w:rFonts w:hint="eastAsia" w:ascii="Times New Roman" w:hAnsi="Times New Roman" w:eastAsia="方正小标宋简体" w:cs="方正小标宋简体"/>
          <w:color w:val="auto"/>
          <w:spacing w:val="0"/>
          <w:sz w:val="44"/>
          <w:szCs w:val="44"/>
          <w:highlight w:val="none"/>
          <w:lang w:val="en-US" w:eastAsia="zh-CN"/>
        </w:rPr>
        <w:t>选题指南</w:t>
      </w:r>
    </w:p>
    <w:p w14:paraId="2A63B298">
      <w:pPr>
        <w:keepNext w:val="0"/>
        <w:keepLines w:val="0"/>
        <w:pageBreakBefore w:val="0"/>
        <w:widowControl w:val="0"/>
        <w:kinsoku/>
        <w:wordWrap/>
        <w:overflowPunct w:val="0"/>
        <w:topLinePunct w:val="0"/>
        <w:autoSpaceDE/>
        <w:autoSpaceDN/>
        <w:bidi w:val="0"/>
        <w:adjustRightInd/>
        <w:snapToGrid/>
        <w:spacing w:beforeAutospacing="0" w:line="560" w:lineRule="exact"/>
        <w:ind w:left="0" w:leftChars="0" w:firstLine="640" w:firstLineChars="200"/>
        <w:jc w:val="center"/>
        <w:textAlignment w:val="auto"/>
        <w:outlineLvl w:val="9"/>
        <w:rPr>
          <w:rFonts w:ascii="Times New Roman" w:hAnsi="Times New Roman" w:eastAsia="黑体"/>
          <w:color w:val="auto"/>
          <w:spacing w:val="0"/>
          <w:sz w:val="32"/>
          <w:highlight w:val="none"/>
        </w:rPr>
      </w:pPr>
    </w:p>
    <w:p w14:paraId="6F0D9A95">
      <w:pPr>
        <w:keepNext w:val="0"/>
        <w:keepLines w:val="0"/>
        <w:pageBreakBefore w:val="0"/>
        <w:widowControl w:val="0"/>
        <w:numPr>
          <w:ilvl w:val="0"/>
          <w:numId w:val="0"/>
        </w:numPr>
        <w:kinsoku/>
        <w:wordWrap/>
        <w:overflowPunct w:val="0"/>
        <w:topLinePunct w:val="0"/>
        <w:autoSpaceDE/>
        <w:autoSpaceDN/>
        <w:bidi w:val="0"/>
        <w:adjustRightInd/>
        <w:snapToGrid/>
        <w:spacing w:beforeAutospacing="0" w:line="560" w:lineRule="exact"/>
        <w:ind w:left="0" w:leftChars="0" w:firstLine="640" w:firstLineChars="200"/>
        <w:jc w:val="both"/>
        <w:textAlignment w:val="auto"/>
        <w:outlineLvl w:val="9"/>
        <w:rPr>
          <w:rFonts w:hint="eastAsia" w:ascii="Times New Roman" w:hAnsi="Times New Roman" w:eastAsia="仿宋_GB2312" w:cs="仿宋_GB2312"/>
          <w:color w:val="auto"/>
          <w:spacing w:val="0"/>
          <w:kern w:val="2"/>
          <w:sz w:val="32"/>
          <w:szCs w:val="32"/>
          <w:highlight w:val="none"/>
          <w:lang w:val="en-US" w:eastAsia="zh-CN" w:bidi="ar-SA"/>
        </w:rPr>
      </w:pPr>
      <w:r>
        <w:rPr>
          <w:rFonts w:hint="eastAsia" w:ascii="Times New Roman" w:hAnsi="Times New Roman" w:eastAsia="黑体" w:cs="黑体"/>
          <w:color w:val="auto"/>
          <w:spacing w:val="0"/>
          <w:sz w:val="32"/>
          <w:szCs w:val="32"/>
          <w:highlight w:val="none"/>
          <w:lang w:val="en-US" w:eastAsia="zh-CN"/>
        </w:rPr>
        <w:t>一、重大课题</w:t>
      </w:r>
    </w:p>
    <w:p w14:paraId="50A664E6">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1.人社事业赋能一体推进教育科技人才发展的机制与路径研究</w:t>
      </w:r>
    </w:p>
    <w:p w14:paraId="11B3E747">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立足系统观念，聚焦一体推进教育科技人才发展，围绕人社部门就业创业、社会保障、人才人事、劳动关系和收入分配等核心职能，系统梳理在一体推进教育科技人才发展中，我省人社核心职能发挥的作用、取得的成效以及存在的不足，在借鉴国内先进地区发展改革经验基础上，研究提出人社赋能一体推进教育科技人才发展的机制与路径，进一步推动人才链、教育链、创新链、产业链深度融合，为一体推进教育科技人才发展提供人社方案。</w:t>
      </w:r>
    </w:p>
    <w:p w14:paraId="27AE16E6">
      <w:pPr>
        <w:keepNext w:val="0"/>
        <w:keepLines w:val="0"/>
        <w:pageBreakBefore w:val="0"/>
        <w:widowControl w:val="0"/>
        <w:numPr>
          <w:ilvl w:val="0"/>
          <w:numId w:val="0"/>
        </w:numPr>
        <w:kinsoku/>
        <w:wordWrap/>
        <w:overflowPunct w:val="0"/>
        <w:topLinePunct w:val="0"/>
        <w:autoSpaceDE/>
        <w:autoSpaceDN/>
        <w:bidi w:val="0"/>
        <w:adjustRightInd/>
        <w:snapToGrid/>
        <w:spacing w:before="0" w:beforeAutospacing="0" w:after="0" w:line="560" w:lineRule="exact"/>
        <w:ind w:left="0" w:leftChars="0" w:firstLine="640" w:firstLineChars="200"/>
        <w:jc w:val="both"/>
        <w:textAlignment w:val="auto"/>
        <w:outlineLvl w:val="9"/>
        <w:rPr>
          <w:rFonts w:hint="eastAsia" w:ascii="Times New Roman" w:hAnsi="Times New Roman" w:eastAsia="黑体" w:cs="黑体"/>
          <w:color w:val="auto"/>
          <w:spacing w:val="0"/>
          <w:szCs w:val="32"/>
          <w:highlight w:val="none"/>
          <w:lang w:val="en-US" w:eastAsia="zh-CN"/>
        </w:rPr>
      </w:pPr>
      <w:r>
        <w:rPr>
          <w:rFonts w:hint="eastAsia" w:ascii="Times New Roman" w:hAnsi="Times New Roman" w:eastAsia="黑体" w:cs="黑体"/>
          <w:color w:val="auto"/>
          <w:spacing w:val="0"/>
          <w:szCs w:val="32"/>
          <w:highlight w:val="none"/>
          <w:lang w:val="en-US" w:eastAsia="zh-CN"/>
        </w:rPr>
        <w:t>二、重点课题</w:t>
      </w:r>
      <w:bookmarkStart w:id="0" w:name="_GoBack"/>
      <w:bookmarkEnd w:id="0"/>
    </w:p>
    <w:p w14:paraId="7178CC19">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default"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1.扩大城乡就业促进居民增收路径研究</w:t>
      </w:r>
    </w:p>
    <w:p w14:paraId="5EDD1B66">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在人口趋势变动、新型城镇化、县域经济高质量发展等大背景下，系统研究我省扩大城乡就业、促进居民增收的有效路径，丰富城乡就业与居民增收的关联机制研究，构建适配城乡融合发展的就业增收理论框架，拓宽居民多元增收渠道，缩小城乡、区域、群体间收入差距，稳定就业大局，夯实民生基础，助力促进高质量充分就业、推进乡村振兴、实现共同富裕。</w:t>
      </w:r>
    </w:p>
    <w:p w14:paraId="40BFA62A">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2.“十五五”时期山东省人力资源服务业优质高效发展的战略定位与实施路径研究</w:t>
      </w:r>
    </w:p>
    <w:p w14:paraId="48F1FB65">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深入研究我省人力资源服务业在服务国家战略和产业升级中的新定位与新使命，明确“十五五”期间的发展目标与主攻方向。在此基础上，通过广泛调研和数据分析，聚焦行业发展痛点，提出我省人力资源服务业结构优化与区域协调发展的可行路径，推动形成“龙头引领、专精特新支撑”的产业梯队。同时，结合就业新形势，创新提出人力资源赋能就业扩容提质的发展思路，更好发挥人力资源服务业支撑产业升级、满足民生需要、带动就业扩容的重要作用。</w:t>
      </w:r>
    </w:p>
    <w:p w14:paraId="26FE12D6">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3.“投资于人”视角下健全终身职业技能培训制度研究</w:t>
      </w:r>
    </w:p>
    <w:p w14:paraId="1967A76B">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落实“投资于人”要求，系统梳理我省终身职业技能培训工作进展与经验成效，分析现存问题与困难。重点研判人工智能、绿色低碳等未来产业及战略性新兴产业对终身职业技能培训制度建设的影响，构建职业培训、职业发展路径与技能增收之间的内在协同机制，提出推动终身职业技能培训制度更加健全的结构模型，提升终身职业技能培训体系整体效能，促进劳动者体面劳动与高质量充分就业。</w:t>
      </w:r>
    </w:p>
    <w:p w14:paraId="59E23BD9">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4.人工智能时代背景下养老保险高质量可持续发展影响及制度完善研究</w:t>
      </w:r>
    </w:p>
    <w:p w14:paraId="4F24B56F">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系统分析人工智能技术发展对我省养老保险制度运行的多</w:t>
      </w:r>
      <w:r>
        <w:rPr>
          <w:rFonts w:hint="eastAsia" w:ascii="仿宋_GB2312" w:hAnsi="仿宋_GB2312" w:eastAsia="仿宋_GB2312" w:cs="仿宋_GB2312"/>
          <w:color w:val="auto"/>
          <w:spacing w:val="-4"/>
          <w:sz w:val="32"/>
          <w:szCs w:val="32"/>
          <w:lang w:val="en-US" w:eastAsia="zh-CN"/>
        </w:rPr>
        <w:t>重影响，重点研究人工智能代替人工、就业形式多样化等对参保扩面、</w:t>
      </w:r>
      <w:r>
        <w:rPr>
          <w:rFonts w:hint="eastAsia" w:ascii="仿宋_GB2312" w:hAnsi="仿宋_GB2312" w:eastAsia="仿宋_GB2312" w:cs="仿宋_GB2312"/>
          <w:color w:val="auto"/>
          <w:spacing w:val="0"/>
          <w:sz w:val="32"/>
          <w:szCs w:val="32"/>
          <w:lang w:val="en-US" w:eastAsia="zh-CN"/>
        </w:rPr>
        <w:t>基金收支的冲击，以及AI技术在养老保险工作中的应用影响。结合未来人工智能发展趋势，从基金可持续性、制度公平性及养老保险制度完善等方面研究人工智能时代养老保险制度高质量、可持续发展思路，提出符合我省实际的制度优化路径和政策建议。</w:t>
      </w:r>
    </w:p>
    <w:p w14:paraId="44B27769">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5.新就业形态人员职业伤害保障扩面提质路径研究</w:t>
      </w:r>
    </w:p>
    <w:p w14:paraId="4F27D3B0">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pacing w:val="0"/>
          <w:sz w:val="32"/>
          <w:szCs w:val="32"/>
          <w:lang w:val="en-US" w:eastAsia="zh-CN"/>
        </w:rPr>
      </w:pPr>
      <w:r>
        <w:rPr>
          <w:rFonts w:hint="eastAsia" w:ascii="仿宋_GB2312" w:hAnsi="仿宋_GB2312" w:eastAsia="仿宋_GB2312" w:cs="仿宋_GB2312"/>
          <w:color w:val="auto"/>
          <w:spacing w:val="0"/>
          <w:sz w:val="32"/>
          <w:szCs w:val="32"/>
          <w:lang w:val="en-US" w:eastAsia="zh-CN"/>
        </w:rPr>
        <w:t>聚焦代驾服务、跑腿帮办等新兴平台企业及其所涉及的新就业形态从业人员，通过广泛深入调研掌握此类从业人员的工作强度与职业伤害风险状况，在借鉴国内其他地方改革经验基础上，研究我省将此类从业人员纳入职业伤害保障范围的可行性，并提出相应的政策建议。</w:t>
      </w:r>
    </w:p>
    <w:p w14:paraId="5B49C6D9">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6.加强青年人才来鲁“第一站”服务保障路径研究</w:t>
      </w:r>
    </w:p>
    <w:p w14:paraId="57AC82B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按照省委、省政府关于“十五五”期间打造北方优秀青年人才集聚区的战略部署安排，聚焦青年人才来鲁“第一站”节点，系统梳理各地为青年人才提供的求职、旅居、交通等方面服务情况，对比省外先进经验做法，深入分析我省青年人才服务现状、</w:t>
      </w:r>
      <w:r>
        <w:rPr>
          <w:rFonts w:hint="eastAsia" w:ascii="仿宋_GB2312" w:hAnsi="仿宋_GB2312" w:eastAsia="仿宋_GB2312" w:cs="仿宋_GB2312"/>
          <w:color w:val="auto"/>
          <w:spacing w:val="-4"/>
          <w:sz w:val="32"/>
          <w:szCs w:val="32"/>
          <w:shd w:val="clear" w:color="auto" w:fill="auto"/>
          <w:lang w:val="en-US" w:eastAsia="zh-CN"/>
        </w:rPr>
        <w:t>基础优势和短板困境，结合青年人才发展“微生态”“青年优居计划”“就业见习岗位募集计划”等，针对不同群体系统提出扩</w:t>
      </w:r>
      <w:r>
        <w:rPr>
          <w:rFonts w:hint="eastAsia" w:ascii="仿宋_GB2312" w:hAnsi="仿宋_GB2312" w:eastAsia="仿宋_GB2312" w:cs="仿宋_GB2312"/>
          <w:color w:val="auto"/>
          <w:spacing w:val="0"/>
          <w:sz w:val="32"/>
          <w:szCs w:val="32"/>
          <w:shd w:val="clear" w:color="auto" w:fill="auto"/>
          <w:lang w:val="en-US" w:eastAsia="zh-CN"/>
        </w:rPr>
        <w:t>充完善青年人才来鲁“第一站”服务链条的可行路径，为区域人才发展提供理论支撑和实践指导，助力打造北方优秀青年人才集聚区。</w:t>
      </w:r>
    </w:p>
    <w:p w14:paraId="5810E42A">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7.新兴产业高技能领军人才队伍建设现状分析及高质量发展对策研究</w:t>
      </w:r>
    </w:p>
    <w:p w14:paraId="03EBFD78">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立足我省“4+4”新兴产业发展现状，分析企业高技能领军人才总量、等级分布及占比、紧缺岗位及缺口规模等情况，剖析高技能领军人才培养、引进、使用、激励环节存在的堵点，对比传统产业梳理新兴产业在岗位标准、技能评价等方面的适配性问题，借鉴外省先进经验，为强化高技能领军人才引育汇聚、推动新兴产业高质量发展提出有针对性的对策建议。</w:t>
      </w:r>
    </w:p>
    <w:p w14:paraId="23788766">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default"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8.山东省数字技术工程师培育供需链建设路径研究</w:t>
      </w:r>
    </w:p>
    <w:p w14:paraId="5208E28B">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结合我省“十强”产业和19条标志性产业链对数字人才的需求，调研掌握数字人才引育现状，深入分析我省高端数字人才引育、本土人才培育及人才留存中的突出问题。在借鉴国内先进地区经验基础上，结合山东实际，提出贴合产业需求、完善培育体系、强化引育协同、优化人才生态的针对性对策，为“十五五”期间山东省数字工程师培育项目提质增效、推动数字人才引育高质量发展提供理论支撑与实践参考。</w:t>
      </w:r>
    </w:p>
    <w:p w14:paraId="1D6B4993">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9.新就业形态劳动者权益保障难点与对策研究</w:t>
      </w:r>
    </w:p>
    <w:p w14:paraId="2F3F9F4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聚焦数字经济时代新就业形态劳动者权益保障问题，通过开展面向省内具有代表性的新就业形态劳动者群体的实证调研，了解其劳动就业情况和劳动权益保障状况，梳理分析该群体权益保障存在的不足，特别是权益保障难点，结合省内外、国内外现有政策举措及先进经验做法调研分析，提出符合我省实际的改善新就业形态劳动者权益保障状况的可行路径，进而推动我省平台经济健康规范可持续发展。</w:t>
      </w:r>
    </w:p>
    <w:p w14:paraId="540D6879">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10.公立医院医疗服务收入内涵与薪酬制度衔接路径研究</w:t>
      </w:r>
    </w:p>
    <w:p w14:paraId="0B9B4D3F">
      <w:pPr>
        <w:pStyle w:val="5"/>
        <w:keepNext w:val="0"/>
        <w:keepLines w:val="0"/>
        <w:pageBreakBefore w:val="0"/>
        <w:widowControl w:val="0"/>
        <w:kinsoku/>
        <w:wordWrap/>
        <w:topLinePunct w:val="0"/>
        <w:bidi w:val="0"/>
        <w:snapToGrid/>
        <w:spacing w:line="560" w:lineRule="exact"/>
        <w:ind w:firstLine="640" w:firstLineChars="200"/>
        <w:textAlignment w:val="auto"/>
        <w:rPr>
          <w:rFonts w:hint="eastAsia" w:ascii="仿宋_GB2312" w:hAnsi="仿宋_GB2312" w:eastAsia="仿宋_GB2312" w:cs="仿宋_GB2312"/>
          <w:color w:val="auto"/>
          <w:spacing w:val="0"/>
          <w:kern w:val="2"/>
          <w:sz w:val="32"/>
          <w:szCs w:val="32"/>
          <w:shd w:val="clear" w:color="auto" w:fill="auto"/>
          <w:lang w:val="en-US" w:eastAsia="zh-CN" w:bidi="ar-SA"/>
        </w:rPr>
      </w:pPr>
      <w:r>
        <w:rPr>
          <w:rFonts w:hint="eastAsia" w:ascii="仿宋_GB2312" w:hAnsi="仿宋_GB2312" w:eastAsia="仿宋_GB2312" w:cs="仿宋_GB2312"/>
          <w:color w:val="auto"/>
          <w:spacing w:val="0"/>
          <w:kern w:val="2"/>
          <w:sz w:val="32"/>
          <w:szCs w:val="32"/>
          <w:shd w:val="clear" w:color="auto" w:fill="auto"/>
          <w:lang w:val="en-US" w:eastAsia="zh-CN" w:bidi="ar-SA"/>
        </w:rPr>
        <w:t>围绕落实公立医院“两个允许”要求，研究实现“第二个允许”（允许医疗服务收入扣除成本并按规定提取各项基金后主要用于人员奖励）的具体路径。通过调研学习外省经验做法、选取有代表性的公立医院进行分析测算等方式，探索符合我省公立医院实际情况的医疗服务收入核算、成本扣除、基金计提等办法，研究提出公立医院医疗服务收入内涵与薪酬制度衔接办法，为核算公立医院薪酬资金来源、合理确定公立医院薪酬水平等提供政策参考。</w:t>
      </w:r>
    </w:p>
    <w:p w14:paraId="2BBB1383">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11.人社事中事后监管效能提升路径研究</w:t>
      </w:r>
    </w:p>
    <w:p w14:paraId="5C0F548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系统梳理当前我省人社领域事中事后监管体系建设现状，分析存在的短板和制约因素，在借鉴省外先进经验基础上，进一步厘清监管权责边界，平衡监管刚性与服务柔性，研究提出优化提升我省人社监管治理体系效能的切实举措，推动形成业务部门、执法部门、执法监督部门各负其责又高效协同的监管工作机制，为人社监管治理现代化提供参考，为进一步促进人社政策落地执行、切实防范化解人社领域风险、持续优化营商环境提供保障。</w:t>
      </w:r>
    </w:p>
    <w:p w14:paraId="77ECE6D5">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pacing w:val="0"/>
          <w:sz w:val="32"/>
          <w:szCs w:val="32"/>
          <w:lang w:val="en-US" w:eastAsia="zh-CN"/>
        </w:rPr>
      </w:pPr>
      <w:r>
        <w:rPr>
          <w:rFonts w:hint="eastAsia" w:ascii="楷体_GB2312" w:hAnsi="楷体_GB2312" w:eastAsia="楷体_GB2312" w:cs="楷体_GB2312"/>
          <w:color w:val="auto"/>
          <w:spacing w:val="0"/>
          <w:sz w:val="32"/>
          <w:szCs w:val="32"/>
          <w:lang w:val="en-US" w:eastAsia="zh-CN"/>
        </w:rPr>
        <w:t>12.人口新常态与技术变革下人社基本公共服务提质增效路径研究</w:t>
      </w:r>
    </w:p>
    <w:p w14:paraId="006191C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聚焦人口结构变化与技术变革叠加新形势，深入分析人口少子化、老龄化、区域人口增减分化等对人社公共服务的差异化需求，以及人工智能、大数据等技术变革带来的机遇与挑战，梳理当前人社服务在供需适配、数字鸿沟、数据壁垒、基层承载能力</w:t>
      </w:r>
      <w:r>
        <w:rPr>
          <w:rFonts w:hint="eastAsia" w:ascii="仿宋_GB2312" w:hAnsi="仿宋_GB2312" w:eastAsia="仿宋_GB2312" w:cs="仿宋_GB2312"/>
          <w:color w:val="auto"/>
          <w:spacing w:val="-4"/>
          <w:sz w:val="32"/>
          <w:szCs w:val="32"/>
          <w:shd w:val="clear" w:color="auto" w:fill="auto"/>
          <w:lang w:val="en-US" w:eastAsia="zh-CN"/>
        </w:rPr>
        <w:t>等方面的突出矛盾与堵点，重点研究适老化服务改造、新就业形态人员等重点群体精准服务、全流程智能化转型等关键路径，提</w:t>
      </w:r>
      <w:r>
        <w:rPr>
          <w:rFonts w:hint="eastAsia" w:ascii="仿宋_GB2312" w:hAnsi="仿宋_GB2312" w:eastAsia="仿宋_GB2312" w:cs="仿宋_GB2312"/>
          <w:color w:val="auto"/>
          <w:spacing w:val="0"/>
          <w:sz w:val="32"/>
          <w:szCs w:val="32"/>
          <w:shd w:val="clear" w:color="auto" w:fill="auto"/>
          <w:lang w:val="en-US" w:eastAsia="zh-CN"/>
        </w:rPr>
        <w:t>出完善政策体系、创新服务模式等建议，为提升人社公共服务能力和水平、满足多层次多样化公共服务需求提供理论支撑与实践路径。</w:t>
      </w:r>
    </w:p>
    <w:p w14:paraId="5E1B47C2">
      <w:pPr>
        <w:keepNext w:val="0"/>
        <w:keepLines w:val="0"/>
        <w:pageBreakBefore w:val="0"/>
        <w:widowControl w:val="0"/>
        <w:kinsoku/>
        <w:wordWrap/>
        <w:overflowPunct w:val="0"/>
        <w:topLinePunct w:val="0"/>
        <w:autoSpaceDE/>
        <w:autoSpaceDN/>
        <w:bidi w:val="0"/>
        <w:adjustRightInd/>
        <w:snapToGrid/>
        <w:spacing w:line="560" w:lineRule="exact"/>
        <w:ind w:left="0" w:leftChars="0" w:firstLine="640" w:firstLineChars="200"/>
        <w:textAlignment w:val="auto"/>
        <w:rPr>
          <w:rFonts w:hint="eastAsia" w:ascii="楷体_GB2312" w:hAnsi="楷体_GB2312" w:eastAsia="楷体_GB2312" w:cs="楷体_GB2312"/>
          <w:color w:val="auto"/>
          <w:spacing w:val="-5"/>
          <w:sz w:val="32"/>
          <w:szCs w:val="32"/>
          <w:shd w:val="clear" w:color="auto" w:fill="auto"/>
          <w:lang w:val="en-US" w:eastAsia="zh-CN"/>
        </w:rPr>
      </w:pPr>
      <w:r>
        <w:rPr>
          <w:rFonts w:hint="eastAsia" w:ascii="楷体_GB2312" w:hAnsi="楷体_GB2312" w:eastAsia="楷体_GB2312" w:cs="楷体_GB2312"/>
          <w:color w:val="auto"/>
          <w:spacing w:val="0"/>
          <w:sz w:val="32"/>
          <w:szCs w:val="32"/>
          <w:lang w:val="en-US" w:eastAsia="zh-CN"/>
        </w:rPr>
        <w:t>13.加</w:t>
      </w:r>
      <w:r>
        <w:rPr>
          <w:rFonts w:hint="eastAsia" w:ascii="楷体_GB2312" w:hAnsi="楷体_GB2312" w:eastAsia="楷体_GB2312" w:cs="楷体_GB2312"/>
          <w:color w:val="auto"/>
          <w:spacing w:val="-5"/>
          <w:sz w:val="32"/>
          <w:szCs w:val="32"/>
          <w:shd w:val="clear" w:color="auto" w:fill="auto"/>
          <w:lang w:val="en-US" w:eastAsia="zh-CN"/>
        </w:rPr>
        <w:t>强和改进新时代人社机关青年思想政治工作的路径研究</w:t>
      </w:r>
    </w:p>
    <w:p w14:paraId="01CCF09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通过深入调研，结合人社机关属性，分析机关青年思想政治工作面临的新形势和新特点，总结梳理目前机关青年思想政治工作现状及存在的问题，研究提出如何将思想政治工作嵌入机关青年干部教育、管理、使用全链条，并结合实际提出创新性、针对性和可操作性的思路举措和对策建议，为改进提升青年干部思想政治工作水平提供切实可行的决策参考。</w:t>
      </w:r>
    </w:p>
    <w:p w14:paraId="4BEBA70E">
      <w:pPr>
        <w:keepNext w:val="0"/>
        <w:keepLines w:val="0"/>
        <w:pageBreakBefore w:val="0"/>
        <w:widowControl w:val="0"/>
        <w:numPr>
          <w:ilvl w:val="0"/>
          <w:numId w:val="0"/>
        </w:numPr>
        <w:kinsoku/>
        <w:wordWrap/>
        <w:overflowPunct w:val="0"/>
        <w:topLinePunct w:val="0"/>
        <w:autoSpaceDE/>
        <w:autoSpaceDN/>
        <w:bidi w:val="0"/>
        <w:adjustRightInd/>
        <w:snapToGrid/>
        <w:spacing w:beforeAutospacing="0" w:line="560" w:lineRule="exact"/>
        <w:ind w:left="0" w:leftChars="0" w:firstLine="640" w:firstLineChars="200"/>
        <w:jc w:val="both"/>
        <w:textAlignment w:val="auto"/>
        <w:outlineLvl w:val="9"/>
        <w:rPr>
          <w:rFonts w:hint="eastAsia" w:ascii="Times New Roman" w:hAnsi="Times New Roman" w:eastAsia="黑体" w:cs="黑体"/>
          <w:color w:val="auto"/>
          <w:spacing w:val="0"/>
          <w:sz w:val="32"/>
          <w:szCs w:val="32"/>
          <w:highlight w:val="none"/>
          <w:lang w:val="en-US" w:eastAsia="zh-CN"/>
        </w:rPr>
      </w:pPr>
      <w:r>
        <w:rPr>
          <w:rFonts w:hint="eastAsia" w:ascii="Times New Roman" w:hAnsi="Times New Roman" w:eastAsia="黑体" w:cs="黑体"/>
          <w:color w:val="auto"/>
          <w:spacing w:val="0"/>
          <w:sz w:val="32"/>
          <w:szCs w:val="32"/>
          <w:highlight w:val="none"/>
          <w:lang w:val="en-US" w:eastAsia="zh-CN"/>
        </w:rPr>
        <w:t>三、一般课题</w:t>
      </w:r>
    </w:p>
    <w:p w14:paraId="582C91A1">
      <w:pPr>
        <w:keepNext w:val="0"/>
        <w:keepLines w:val="0"/>
        <w:pageBreakBefore w:val="0"/>
        <w:widowControl w:val="0"/>
        <w:kinsoku/>
        <w:wordWrap/>
        <w:overflowPunct/>
        <w:topLinePunct w:val="0"/>
        <w:autoSpaceDE/>
        <w:autoSpaceDN/>
        <w:bidi w:val="0"/>
        <w:adjustRightInd/>
        <w:snapToGrid/>
        <w:spacing w:beforeAutospacing="0" w:line="560" w:lineRule="exact"/>
        <w:ind w:left="0" w:leftChars="0" w:firstLine="640" w:firstLineChars="200"/>
        <w:textAlignment w:val="auto"/>
        <w:rPr>
          <w:rFonts w:hint="eastAsia" w:ascii="Times New Roman" w:hAnsi="Times New Roman" w:eastAsia="楷体_GB2312" w:cs="楷体_GB2312"/>
          <w:color w:val="auto"/>
          <w:spacing w:val="0"/>
          <w:sz w:val="32"/>
          <w:highlight w:val="none"/>
          <w:lang w:val="en-US" w:eastAsia="zh-CN"/>
        </w:rPr>
      </w:pPr>
      <w:r>
        <w:rPr>
          <w:rFonts w:hint="eastAsia" w:ascii="Times New Roman" w:hAnsi="Times New Roman" w:eastAsia="楷体_GB2312" w:cs="楷体_GB2312"/>
          <w:color w:val="auto"/>
          <w:spacing w:val="0"/>
          <w:sz w:val="32"/>
          <w:highlight w:val="none"/>
          <w:lang w:val="en-US" w:eastAsia="zh-CN"/>
        </w:rPr>
        <w:t>（一）就业创业</w:t>
      </w:r>
    </w:p>
    <w:p w14:paraId="5286048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1.“十五五”期间人口发展趋势下高校毕业生等青年就业新渠道新方式研究</w:t>
      </w:r>
    </w:p>
    <w:p w14:paraId="3EF75D8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2.人工智能促进高质量充分就业的路径研究</w:t>
      </w:r>
    </w:p>
    <w:p w14:paraId="656F7D1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3.“三支一扶”计划等青年基层就业路径优化研究</w:t>
      </w:r>
    </w:p>
    <w:p w14:paraId="52CBA4D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4.建设黄河流域就业创业集聚区研究</w:t>
      </w:r>
    </w:p>
    <w:p w14:paraId="3191CAB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5.“人工智能+”行动背景下人力资源服务业数智化转型路径研究</w:t>
      </w:r>
    </w:p>
    <w:p w14:paraId="2A11CC9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6.人力资源服务业与先进制造业深度融合的机制创新与实践创新路径研究</w:t>
      </w:r>
    </w:p>
    <w:p w14:paraId="1E0DA79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7.全省就业失业监测预警体系提质增效研究</w:t>
      </w:r>
    </w:p>
    <w:p w14:paraId="785DBE6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8.AI应用对重点行业就业生态的冲击与重构研究——基于全省典型行业的调研分析</w:t>
      </w:r>
    </w:p>
    <w:p w14:paraId="22B6292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9.大学生求职能力实训体系构建与实践探索</w:t>
      </w:r>
    </w:p>
    <w:p w14:paraId="5AA61DA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10.拓展农村劳动力县乡就业空间路径研究</w:t>
      </w:r>
    </w:p>
    <w:p w14:paraId="18C46CB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11.打造乡村振兴齐鲁样板背景下返乡创业现实困境与服务路径研究</w:t>
      </w:r>
    </w:p>
    <w:p w14:paraId="5DF87FF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12.山东省标志性产业链就业带动效应与高校毕业生岗位资源开发策略研究</w:t>
      </w:r>
    </w:p>
    <w:p w14:paraId="44E45FB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楷体_GB2312" w:cs="楷体_GB2312"/>
          <w:color w:val="auto"/>
          <w:spacing w:val="0"/>
          <w:sz w:val="32"/>
          <w:szCs w:val="32"/>
          <w:shd w:val="clear" w:color="auto" w:fill="auto"/>
        </w:rPr>
      </w:pPr>
      <w:r>
        <w:rPr>
          <w:rFonts w:hint="eastAsia" w:ascii="Times New Roman" w:hAnsi="Times New Roman" w:eastAsia="楷体_GB2312" w:cs="楷体_GB2312"/>
          <w:color w:val="auto"/>
          <w:spacing w:val="0"/>
          <w:sz w:val="32"/>
          <w:szCs w:val="32"/>
          <w:shd w:val="clear" w:color="auto" w:fill="auto"/>
          <w:lang w:eastAsia="zh-CN"/>
        </w:rPr>
        <w:t>（</w:t>
      </w:r>
      <w:r>
        <w:rPr>
          <w:rFonts w:hint="eastAsia" w:ascii="Times New Roman" w:hAnsi="Times New Roman" w:eastAsia="楷体_GB2312" w:cs="楷体_GB2312"/>
          <w:color w:val="auto"/>
          <w:spacing w:val="0"/>
          <w:sz w:val="32"/>
          <w:szCs w:val="32"/>
          <w:shd w:val="clear" w:color="auto" w:fill="auto"/>
          <w:lang w:val="en-US" w:eastAsia="zh-CN"/>
        </w:rPr>
        <w:t>二</w:t>
      </w:r>
      <w:r>
        <w:rPr>
          <w:rFonts w:hint="eastAsia" w:ascii="Times New Roman" w:hAnsi="Times New Roman" w:eastAsia="楷体_GB2312" w:cs="楷体_GB2312"/>
          <w:color w:val="auto"/>
          <w:spacing w:val="0"/>
          <w:sz w:val="32"/>
          <w:szCs w:val="32"/>
          <w:shd w:val="clear" w:color="auto" w:fill="auto"/>
          <w:lang w:eastAsia="zh-CN"/>
        </w:rPr>
        <w:t>）</w:t>
      </w:r>
      <w:r>
        <w:rPr>
          <w:rFonts w:hint="eastAsia" w:ascii="Times New Roman" w:hAnsi="Times New Roman" w:eastAsia="楷体_GB2312" w:cs="楷体_GB2312"/>
          <w:color w:val="auto"/>
          <w:spacing w:val="0"/>
          <w:sz w:val="32"/>
          <w:szCs w:val="32"/>
          <w:shd w:val="clear" w:color="auto" w:fill="auto"/>
        </w:rPr>
        <w:t>社会保障</w:t>
      </w:r>
    </w:p>
    <w:p w14:paraId="61249D4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1.新就业形态从业人员参加职工养老保险研究</w:t>
      </w:r>
    </w:p>
    <w:p w14:paraId="7622C45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2.人工智能在失业保险领域的应用研究</w:t>
      </w:r>
    </w:p>
    <w:p w14:paraId="36EF95C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3.工伤预防项目全流程监管机制研究</w:t>
      </w:r>
    </w:p>
    <w:p w14:paraId="69EA0EF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4.货车司机工伤保障制度研究</w:t>
      </w:r>
    </w:p>
    <w:p w14:paraId="40FED8A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5.新就业形态人员社会保险权益保障问题探析及对策研究</w:t>
      </w:r>
    </w:p>
    <w:p w14:paraId="43EC2FE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6.提高灵活就业人员、农民工、新就业形态人员参保率实现路径研究</w:t>
      </w:r>
    </w:p>
    <w:p w14:paraId="5449C37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7.渐进式延迟法定退休年龄改革实施成效、问题与完善路径研究</w:t>
      </w:r>
    </w:p>
    <w:p w14:paraId="468AAD8D">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8.基于人均预期寿命全覆盖的职业年金待遇发放机制优化研究</w:t>
      </w:r>
    </w:p>
    <w:p w14:paraId="74DDF17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pacing w:val="-5"/>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9.居</w:t>
      </w:r>
      <w:r>
        <w:rPr>
          <w:rFonts w:hint="eastAsia" w:ascii="仿宋_GB2312" w:hAnsi="仿宋_GB2312" w:eastAsia="仿宋_GB2312" w:cs="仿宋_GB2312"/>
          <w:color w:val="auto"/>
          <w:spacing w:val="-5"/>
          <w:sz w:val="32"/>
          <w:szCs w:val="32"/>
          <w:shd w:val="clear" w:color="auto" w:fill="auto"/>
          <w:lang w:val="en-US" w:eastAsia="zh-CN"/>
        </w:rPr>
        <w:t>民基本养老保险全业务流程智能化经办新模式探索研究</w:t>
      </w:r>
    </w:p>
    <w:p w14:paraId="5E46CCD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10.共同富裕视角下居民基本养老保险个人缴费档次优化与动态调整机制研究</w:t>
      </w:r>
    </w:p>
    <w:p w14:paraId="417B57C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11.失业保险稳岗返还政策研究</w:t>
      </w:r>
    </w:p>
    <w:p w14:paraId="0FE1129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12.商业保险补充工伤保险研究</w:t>
      </w:r>
    </w:p>
    <w:p w14:paraId="7A56979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13.工伤预防统分结合与精准集成治理新范式构建研究</w:t>
      </w:r>
    </w:p>
    <w:p w14:paraId="4EEBB93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pacing w:val="-5"/>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14.延</w:t>
      </w:r>
      <w:r>
        <w:rPr>
          <w:rFonts w:hint="eastAsia" w:ascii="仿宋_GB2312" w:hAnsi="仿宋_GB2312" w:eastAsia="仿宋_GB2312" w:cs="仿宋_GB2312"/>
          <w:color w:val="auto"/>
          <w:spacing w:val="-5"/>
          <w:sz w:val="32"/>
          <w:szCs w:val="32"/>
          <w:shd w:val="clear" w:color="auto" w:fill="auto"/>
          <w:lang w:val="en-US" w:eastAsia="zh-CN"/>
        </w:rPr>
        <w:t>迟退休对不同年龄段企业职工参保决策行为的影响研究</w:t>
      </w:r>
    </w:p>
    <w:p w14:paraId="49BB9BA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15.山东省超龄劳动者社会保险权益保障问题研究</w:t>
      </w:r>
    </w:p>
    <w:p w14:paraId="3A041CC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16.新形势下扩大工伤保险覆盖面路径探索研究</w:t>
      </w:r>
    </w:p>
    <w:p w14:paraId="4D20B54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17.快递、外卖等灵活就业群体工伤保险与职业伤害保障问题研究</w:t>
      </w:r>
    </w:p>
    <w:p w14:paraId="3909115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18.灵活就业人员养老保险精准服务与体系优化路径研究</w:t>
      </w:r>
    </w:p>
    <w:p w14:paraId="1EAB17B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楷体_GB2312" w:cs="楷体_GB2312"/>
          <w:color w:val="auto"/>
          <w:spacing w:val="0"/>
          <w:sz w:val="32"/>
          <w:shd w:val="clear" w:color="auto" w:fill="auto"/>
          <w:lang w:val="en-US" w:eastAsia="zh-CN"/>
        </w:rPr>
      </w:pPr>
      <w:r>
        <w:rPr>
          <w:rFonts w:hint="eastAsia" w:ascii="Times New Roman" w:hAnsi="Times New Roman" w:eastAsia="楷体_GB2312" w:cs="楷体_GB2312"/>
          <w:color w:val="auto"/>
          <w:spacing w:val="0"/>
          <w:sz w:val="32"/>
          <w:shd w:val="clear" w:color="auto" w:fill="auto"/>
          <w:lang w:val="en-US" w:eastAsia="zh-CN"/>
        </w:rPr>
        <w:t>（三）人才人事</w:t>
      </w:r>
    </w:p>
    <w:p w14:paraId="53E37D9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1.产才融合视角下山东省龙头（链主）企业职称自主评审改革路径研究</w:t>
      </w:r>
    </w:p>
    <w:p w14:paraId="13FB8BC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2.国际化人才战略下山东境外职业资格认可机制创新与路径优化研究</w:t>
      </w:r>
    </w:p>
    <w:p w14:paraId="256D8B9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3.校院企协同创新下事业单位人才流动制度衔接研究</w:t>
      </w:r>
    </w:p>
    <w:p w14:paraId="7721535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4.加强事业单位人事管理事中事后监管机制研究</w:t>
      </w:r>
    </w:p>
    <w:p w14:paraId="69C9AC8F">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5.技工院校多工种复合型技能人才培养模式研究</w:t>
      </w:r>
    </w:p>
    <w:p w14:paraId="46AB415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6.人工智能时代技能人才培养路径研究</w:t>
      </w:r>
    </w:p>
    <w:p w14:paraId="007B5F1A">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7.产教评技能生态链实施路径研究</w:t>
      </w:r>
    </w:p>
    <w:p w14:paraId="607FDEC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8.大型考试对城市文旅消费的拉动效应及统计模型研究</w:t>
      </w:r>
    </w:p>
    <w:p w14:paraId="65D465F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9.新时代人事考试面试科学测评技术路径探索与实践研究</w:t>
      </w:r>
    </w:p>
    <w:p w14:paraId="010971F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10.电子化考试安全体系建设研究</w:t>
      </w:r>
    </w:p>
    <w:p w14:paraId="6BBD5EAE">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11.构建专家服务基地评估指标体系研究</w:t>
      </w:r>
    </w:p>
    <w:p w14:paraId="16FB40A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12.新时代高层次人才创新创业服务保障机制研究</w:t>
      </w:r>
    </w:p>
    <w:p w14:paraId="5C09CC2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13.公费生服务期人事管理制度优化路径研究</w:t>
      </w:r>
    </w:p>
    <w:p w14:paraId="67F82D7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14.公益一类事业单位人事激励机制研究</w:t>
      </w:r>
    </w:p>
    <w:p w14:paraId="3C31BFA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15.AI赋能公立医院人才引育留用与人事制度改革研究</w:t>
      </w:r>
    </w:p>
    <w:p w14:paraId="4963D41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 xml:space="preserve">16.山东青年科技人才引育留用机制研究 </w:t>
      </w:r>
    </w:p>
    <w:p w14:paraId="0E4D8BC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pacing w:val="-5"/>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17.人</w:t>
      </w:r>
      <w:r>
        <w:rPr>
          <w:rFonts w:hint="eastAsia" w:ascii="仿宋_GB2312" w:hAnsi="仿宋_GB2312" w:eastAsia="仿宋_GB2312" w:cs="仿宋_GB2312"/>
          <w:color w:val="auto"/>
          <w:spacing w:val="-5"/>
          <w:sz w:val="32"/>
          <w:szCs w:val="32"/>
          <w:shd w:val="clear" w:color="auto" w:fill="auto"/>
          <w:lang w:val="en-US" w:eastAsia="zh-CN"/>
        </w:rPr>
        <w:t>工智能赋能山东乡村振兴人才能力提升路径与应用研究</w:t>
      </w:r>
    </w:p>
    <w:p w14:paraId="1495BAE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pacing w:val="-5"/>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18.人</w:t>
      </w:r>
      <w:r>
        <w:rPr>
          <w:rFonts w:hint="eastAsia" w:ascii="仿宋_GB2312" w:hAnsi="仿宋_GB2312" w:eastAsia="仿宋_GB2312" w:cs="仿宋_GB2312"/>
          <w:color w:val="auto"/>
          <w:spacing w:val="-5"/>
          <w:sz w:val="32"/>
          <w:szCs w:val="32"/>
          <w:shd w:val="clear" w:color="auto" w:fill="auto"/>
          <w:lang w:val="en-US" w:eastAsia="zh-CN"/>
        </w:rPr>
        <w:t>工智能驱动下科技人才评价的范式转型与体系构建研究</w:t>
      </w:r>
    </w:p>
    <w:p w14:paraId="57D67C0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19.山东省高校教师自主评聘优化路径研究</w:t>
      </w:r>
    </w:p>
    <w:p w14:paraId="3A52A70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20.山东省高校与企业人才共引共用机制的障碍与突破路径研究</w:t>
      </w:r>
    </w:p>
    <w:p w14:paraId="150B6CC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21.人才服务数字化转型升级的路径与模式研究</w:t>
      </w:r>
    </w:p>
    <w:p w14:paraId="17DA96B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22.县域经济视角下青年人才发展微生态建设研究</w:t>
      </w:r>
    </w:p>
    <w:p w14:paraId="2F1D7E8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23.专家服务与基层需求精准匹配对接机制与路径研究</w:t>
      </w:r>
    </w:p>
    <w:p w14:paraId="17D692D2">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楷体_GB2312" w:cs="楷体_GB2312"/>
          <w:color w:val="auto"/>
          <w:spacing w:val="0"/>
          <w:sz w:val="32"/>
          <w:szCs w:val="32"/>
          <w:shd w:val="clear" w:color="auto" w:fill="auto"/>
        </w:rPr>
      </w:pPr>
      <w:r>
        <w:rPr>
          <w:rFonts w:hint="eastAsia" w:ascii="Times New Roman" w:hAnsi="Times New Roman" w:eastAsia="楷体_GB2312" w:cs="楷体_GB2312"/>
          <w:color w:val="auto"/>
          <w:spacing w:val="0"/>
          <w:sz w:val="32"/>
          <w:szCs w:val="32"/>
          <w:shd w:val="clear" w:color="auto" w:fill="auto"/>
          <w:lang w:eastAsia="zh-CN"/>
        </w:rPr>
        <w:t>（</w:t>
      </w:r>
      <w:r>
        <w:rPr>
          <w:rFonts w:hint="eastAsia" w:ascii="Times New Roman" w:hAnsi="Times New Roman" w:eastAsia="楷体_GB2312" w:cs="楷体_GB2312"/>
          <w:color w:val="auto"/>
          <w:spacing w:val="0"/>
          <w:sz w:val="32"/>
          <w:szCs w:val="32"/>
          <w:shd w:val="clear" w:color="auto" w:fill="auto"/>
          <w:lang w:val="en-US" w:eastAsia="zh-CN"/>
        </w:rPr>
        <w:t>四</w:t>
      </w:r>
      <w:r>
        <w:rPr>
          <w:rFonts w:hint="eastAsia" w:ascii="Times New Roman" w:hAnsi="Times New Roman" w:eastAsia="楷体_GB2312" w:cs="楷体_GB2312"/>
          <w:color w:val="auto"/>
          <w:spacing w:val="0"/>
          <w:sz w:val="32"/>
          <w:szCs w:val="32"/>
          <w:shd w:val="clear" w:color="auto" w:fill="auto"/>
          <w:lang w:eastAsia="zh-CN"/>
        </w:rPr>
        <w:t>）</w:t>
      </w:r>
      <w:r>
        <w:rPr>
          <w:rFonts w:hint="eastAsia" w:ascii="Times New Roman" w:hAnsi="Times New Roman" w:eastAsia="楷体_GB2312" w:cs="楷体_GB2312"/>
          <w:color w:val="auto"/>
          <w:spacing w:val="0"/>
          <w:sz w:val="32"/>
          <w:szCs w:val="32"/>
          <w:shd w:val="clear" w:color="auto" w:fill="auto"/>
        </w:rPr>
        <w:t>劳动关系和收入分配</w:t>
      </w:r>
    </w:p>
    <w:p w14:paraId="057ADAC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1.人工智能发展对劳动关系的影响及应对研究</w:t>
      </w:r>
    </w:p>
    <w:p w14:paraId="376407E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2.生育友好型社会建设背景下女性劳动者权益保障研究</w:t>
      </w:r>
    </w:p>
    <w:p w14:paraId="4A678FE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3.人工智能时代劳动关系变革与社会保障适配的路径研究</w:t>
      </w:r>
    </w:p>
    <w:p w14:paraId="4914C51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4.高校、科研院所薪酬制度改革实证研究</w:t>
      </w:r>
    </w:p>
    <w:p w14:paraId="13263CD7">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5.平台经济视域下山东省新就业形态劳动者劳动关系界定与权益保障路径研究</w:t>
      </w:r>
    </w:p>
    <w:p w14:paraId="416393E1">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6.劳动仲裁视域下特殊群体工伤保障争议处理困境与对策研究</w:t>
      </w:r>
    </w:p>
    <w:p w14:paraId="05412500">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Times New Roman" w:hAnsi="Times New Roman" w:eastAsia="楷体_GB2312" w:cs="楷体_GB2312"/>
          <w:color w:val="auto"/>
          <w:spacing w:val="0"/>
          <w:sz w:val="32"/>
          <w:szCs w:val="32"/>
          <w:shd w:val="clear" w:color="auto" w:fill="auto"/>
          <w:lang w:val="en-US" w:eastAsia="zh-CN"/>
        </w:rPr>
      </w:pPr>
      <w:r>
        <w:rPr>
          <w:rFonts w:hint="eastAsia" w:ascii="Times New Roman" w:hAnsi="Times New Roman" w:eastAsia="楷体_GB2312" w:cs="楷体_GB2312"/>
          <w:color w:val="auto"/>
          <w:spacing w:val="0"/>
          <w:sz w:val="32"/>
          <w:szCs w:val="32"/>
          <w:shd w:val="clear" w:color="auto" w:fill="auto"/>
          <w:lang w:val="en-US" w:eastAsia="zh-CN"/>
        </w:rPr>
        <w:t>（五）其他</w:t>
      </w:r>
    </w:p>
    <w:p w14:paraId="1148B236">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1.就业补助资金绩效评价体系优化研究</w:t>
      </w:r>
    </w:p>
    <w:p w14:paraId="010FA5B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2.技工学校资产管理绩效评价指标体系构建与实证研究</w:t>
      </w:r>
    </w:p>
    <w:p w14:paraId="2DE5058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3.加强技工院校党的建设和思想政治教育路径研究</w:t>
      </w:r>
    </w:p>
    <w:p w14:paraId="196E0654">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4.新时代推进健康机关建设研究</w:t>
      </w:r>
    </w:p>
    <w:p w14:paraId="51C5C2DB">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color w:val="auto"/>
          <w:spacing w:val="-5"/>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5.</w:t>
      </w:r>
      <w:r>
        <w:rPr>
          <w:rFonts w:hint="eastAsia" w:ascii="仿宋_GB2312" w:hAnsi="仿宋_GB2312" w:eastAsia="仿宋_GB2312" w:cs="仿宋_GB2312"/>
          <w:color w:val="auto"/>
          <w:spacing w:val="0"/>
          <w:sz w:val="32"/>
          <w:szCs w:val="32"/>
          <w:shd w:val="clear" w:color="auto" w:fill="auto"/>
          <w:lang w:eastAsia="zh-CN"/>
        </w:rPr>
        <w:t>新</w:t>
      </w:r>
      <w:r>
        <w:rPr>
          <w:rFonts w:hint="eastAsia" w:ascii="仿宋_GB2312" w:hAnsi="仿宋_GB2312" w:eastAsia="仿宋_GB2312" w:cs="仿宋_GB2312"/>
          <w:color w:val="auto"/>
          <w:spacing w:val="-5"/>
          <w:sz w:val="32"/>
          <w:szCs w:val="32"/>
          <w:shd w:val="clear" w:color="auto" w:fill="auto"/>
          <w:lang w:val="en-US" w:eastAsia="zh-CN"/>
        </w:rPr>
        <w:t>时代公共就业和人才服务视角下党建业务融合路径研究</w:t>
      </w:r>
    </w:p>
    <w:p w14:paraId="0F7AC9A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_GB2312" w:hAnsi="仿宋_GB2312" w:eastAsia="仿宋_GB2312" w:cs="仿宋_GB2312"/>
          <w:color w:val="auto"/>
          <w:spacing w:val="0"/>
          <w:sz w:val="32"/>
          <w:szCs w:val="32"/>
          <w:shd w:val="clear" w:color="auto" w:fill="auto"/>
          <w:lang w:val="en-US" w:eastAsia="zh-CN"/>
        </w:rPr>
      </w:pPr>
      <w:r>
        <w:rPr>
          <w:rFonts w:hint="eastAsia" w:ascii="仿宋_GB2312" w:hAnsi="仿宋_GB2312" w:eastAsia="仿宋_GB2312" w:cs="仿宋_GB2312"/>
          <w:color w:val="auto"/>
          <w:spacing w:val="0"/>
          <w:sz w:val="32"/>
          <w:szCs w:val="32"/>
          <w:shd w:val="clear" w:color="auto" w:fill="auto"/>
          <w:lang w:val="en-US" w:eastAsia="zh-CN"/>
        </w:rPr>
        <w:t>6.新媒体时代人社行业媒体宣传转型升级研究</w:t>
      </w:r>
    </w:p>
    <w:p w14:paraId="39B693D1">
      <w:pPr>
        <w:keepNext w:val="0"/>
        <w:keepLines w:val="0"/>
        <w:pageBreakBefore w:val="0"/>
        <w:widowControl w:val="0"/>
        <w:kinsoku/>
        <w:wordWrap/>
        <w:topLinePunct w:val="0"/>
        <w:bidi w:val="0"/>
        <w:snapToGrid/>
        <w:spacing w:line="56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37455F"/>
    <w:rsid w:val="5AF62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customStyle="1" w:styleId="5">
    <w:name w:val="Default"/>
    <w:unhideWhenUsed/>
    <w:qFormat/>
    <w:uiPriority w:val="0"/>
    <w:pPr>
      <w:widowControl w:val="0"/>
      <w:autoSpaceDE w:val="0"/>
      <w:autoSpaceDN w:val="0"/>
      <w:adjustRightInd w:val="0"/>
    </w:pPr>
    <w:rPr>
      <w:rFonts w:hint="eastAsia" w:ascii="仿宋_GB2312" w:hAnsi="仿宋_GB2312" w:eastAsia="仿宋_GB2312"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8</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2026-06-11T03:28:36Z</dcterms:created>
  <dc:creator>lenovo</dc:creator>
  <cp:lastModifiedBy>阿布</cp:lastModifiedBy>
  <dcterms:modified xsi:type="dcterms:W3CDTF">2026-06-11T03:38:30Z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eyJoZGlkIjoiOTM0YzE0OTBjNmVjMWE0ZTJmZTkxOTFjNWQ5N2Y4YjMiLCJ1c2VySWQiOiIzNDg2ODUyMTcifQ==</vt:lpwstr>
  </property>
  <property fmtid="{D5CDD505-2E9C-101B-9397-08002B2CF9AE}" pid="4" name="ICV">
    <vt:lpwstr>368097A6DCDD40DBB4430E25799033FC_12</vt:lpwstr>
  </property>
</Properties>
</file>