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F34A">
      <w:pPr>
        <w:pStyle w:val="2"/>
        <w:spacing w:before="125" w:line="209" w:lineRule="auto"/>
        <w:ind w:left="3314"/>
        <w:rPr>
          <w:sz w:val="43"/>
          <w:szCs w:val="43"/>
        </w:rPr>
      </w:pPr>
      <w:r>
        <w:rPr>
          <w:spacing w:val="9"/>
          <w:sz w:val="43"/>
          <w:szCs w:val="43"/>
        </w:rPr>
        <w:t>选题方向</w:t>
      </w:r>
    </w:p>
    <w:p w14:paraId="153537F3">
      <w:pPr>
        <w:spacing w:line="283" w:lineRule="auto"/>
        <w:rPr>
          <w:rFonts w:ascii="Arial"/>
          <w:sz w:val="21"/>
        </w:rPr>
      </w:pPr>
    </w:p>
    <w:p w14:paraId="2502E9DF">
      <w:pPr>
        <w:spacing w:line="283" w:lineRule="auto"/>
        <w:rPr>
          <w:rFonts w:ascii="Arial"/>
          <w:sz w:val="21"/>
        </w:rPr>
      </w:pPr>
    </w:p>
    <w:p w14:paraId="0D9563CD">
      <w:pPr>
        <w:spacing w:before="101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一、习近平新时代中国特色社会主义思想研究</w:t>
      </w:r>
    </w:p>
    <w:p w14:paraId="55B5569D">
      <w:pPr>
        <w:spacing w:before="244" w:line="368" w:lineRule="auto"/>
        <w:ind w:right="103" w:firstLine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围绕学习宣传贯彻党的二十大和二十届历次全会精神，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突出加强党的创新理论研究；围绕习近平强军思想、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习近平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经济思想、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习近平生态文明思想、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习近平外交思想、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习近平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法治思想、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习近平文化思想，开展理论研究阐释，不断开辟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21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世纪马克思主义研究新境界，不断提高用党的创新理论分析和解决问题的能力。</w:t>
      </w:r>
    </w:p>
    <w:p w14:paraId="7027B629">
      <w:pPr>
        <w:spacing w:before="36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二、党建工作研究</w:t>
      </w:r>
    </w:p>
    <w:p w14:paraId="0A584C9B">
      <w:pPr>
        <w:spacing w:before="245" w:line="371" w:lineRule="auto"/>
        <w:ind w:left="13" w:right="166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深入学习领会习近平总书记关于党的建设的重要思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想，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围绕新时代党的建设总要求，推动党的建设迈上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更高水平，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从政治建设、思想建设、组织建设、作风建设、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纪律建设、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制度建设、清廉建设等方面开展理论和实践问题研究。</w:t>
      </w:r>
    </w:p>
    <w:p w14:paraId="11AFF01B">
      <w:pPr>
        <w:spacing w:before="2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三、优秀传统文化创造性转化、创新性发展</w:t>
      </w:r>
    </w:p>
    <w:p w14:paraId="1BC4C8CD">
      <w:pPr>
        <w:spacing w:before="242" w:line="372" w:lineRule="auto"/>
        <w:ind w:left="9" w:right="5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深入挖掘泰山文化、大汶口文化、黄河文化、运河文化、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红色文化等优秀传统文化蕴含的深刻内涵和时代价值；围绕“登高望远、勇挑重担、和合共生、国泰民安”新时代泰山文化内涵开展研究，丰富内涵、扩展外延；围绕推动文旅融合发展，聚焦文化遗产保护、发展壮大文旅产业、推进文化</w:t>
      </w:r>
    </w:p>
    <w:p w14:paraId="319C20D3">
      <w:pPr>
        <w:spacing w:line="37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701" w:bottom="1141" w:left="1708" w:header="0" w:footer="928" w:gutter="0"/>
          <w:cols w:space="720" w:num="1"/>
        </w:sectPr>
      </w:pPr>
    </w:p>
    <w:p w14:paraId="0CE1C29F">
      <w:pPr>
        <w:spacing w:line="323" w:lineRule="auto"/>
        <w:rPr>
          <w:rFonts w:ascii="Arial"/>
          <w:sz w:val="21"/>
        </w:rPr>
      </w:pPr>
    </w:p>
    <w:p w14:paraId="78CF5234">
      <w:pPr>
        <w:spacing w:before="101" w:line="218" w:lineRule="auto"/>
        <w:ind w:left="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事业等，开展应用对策研究，厚植时尚城市文化底蕴。</w:t>
      </w:r>
    </w:p>
    <w:p w14:paraId="501C3FE7">
      <w:pPr>
        <w:spacing w:before="256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四、推进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黑体" w:hAnsi="黑体" w:eastAsia="黑体" w:cs="黑体"/>
          <w:spacing w:val="6"/>
          <w:sz w:val="31"/>
          <w:szCs w:val="31"/>
        </w:rPr>
        <w:t>五个城市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黑体" w:hAnsi="黑体" w:eastAsia="黑体" w:cs="黑体"/>
          <w:spacing w:val="6"/>
          <w:sz w:val="31"/>
          <w:szCs w:val="31"/>
        </w:rPr>
        <w:t>建设研究</w:t>
      </w:r>
    </w:p>
    <w:p w14:paraId="4A8A3BB1">
      <w:pPr>
        <w:spacing w:before="241" w:line="350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（一）打造商业繁荣、特色鲜明、体验多元、引领潮流</w:t>
      </w:r>
      <w:r>
        <w:rPr>
          <w:rFonts w:ascii="KaiTi_GB2312" w:hAnsi="KaiTi_GB2312" w:eastAsia="KaiTi_GB2312" w:cs="KaiTi_GB2312"/>
          <w:spacing w:val="13"/>
          <w:sz w:val="31"/>
          <w:szCs w:val="31"/>
        </w:rPr>
        <w:t>的时尚城市。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围绕持续释放消费潜能，聚焦提振消费、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推动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商旅文体健融合，发展非标经济、完善提升县域商业体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系等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开展研究；围绕培育发展新兴业态，聚焦发展首店首发经济、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赛事经济、演艺经济、夜间经济、节会经济、会展经济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、健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康经济、银发经济，培育谷子经济、宠物经济、低空经济、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旅居休闲等新场景开展研究。</w:t>
      </w:r>
    </w:p>
    <w:p w14:paraId="18EBB7FB">
      <w:pPr>
        <w:spacing w:before="252" w:line="350" w:lineRule="auto"/>
        <w:ind w:left="7" w:right="97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3"/>
          <w:sz w:val="31"/>
          <w:szCs w:val="31"/>
        </w:rPr>
        <w:t>（二）打造创新引领、智造赋能、产业高端、动能澎湃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的活力城市。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围绕发展实体经济，纵深推进新型工业化，加快培育发展新质生产力，聚焦深化创新驱动、优化提升传统产业、培育壮大新兴产业、超前布局未来产业、扩能提质现代服务业、发展现代农业、做强建安产业、推动数智融合等开展研究。围绕深化改革开放，聚焦重点领域改革、高水平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对外开放、优化营商环境等开展研究。</w:t>
      </w:r>
    </w:p>
    <w:p w14:paraId="58E3AB54">
      <w:pPr>
        <w:spacing w:before="258" w:line="341" w:lineRule="auto"/>
        <w:ind w:left="7" w:right="2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（三）打造低碳高效、环境友好、山青水秀、生态安全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的绿色城市。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围绕建设黄河战略先行区，聚焦绿色低碳发展、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生态保护治理、提升防灾减灾能力等，在建设节水型社会、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建设“无废城市”、构建绿色制造体系、大气环境质量提升、推动美丽河湖保护与建设、推进泰山区域水土流失系统治理、</w:t>
      </w:r>
    </w:p>
    <w:p w14:paraId="1B87E885">
      <w:pPr>
        <w:spacing w:line="34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707" w:bottom="1221" w:left="1704" w:header="0" w:footer="906" w:gutter="0"/>
          <w:cols w:space="720" w:num="1"/>
        </w:sectPr>
      </w:pPr>
    </w:p>
    <w:p w14:paraId="73FCF9B5">
      <w:pPr>
        <w:spacing w:line="323" w:lineRule="auto"/>
        <w:rPr>
          <w:rFonts w:ascii="Arial"/>
          <w:sz w:val="21"/>
        </w:rPr>
      </w:pPr>
    </w:p>
    <w:p w14:paraId="0FB05138">
      <w:pPr>
        <w:spacing w:before="101" w:line="371" w:lineRule="auto"/>
        <w:ind w:left="28" w:right="185" w:hanging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构建现代化雨水预报体系、加强海绵城市建设等方面开展研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究。</w:t>
      </w:r>
    </w:p>
    <w:p w14:paraId="31F253B9">
      <w:pPr>
        <w:spacing w:before="8" w:line="356" w:lineRule="auto"/>
        <w:ind w:right="103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（四）打造区域协调、城乡融合、舒适宜居、智慧高效</w:t>
      </w:r>
      <w:r>
        <w:rPr>
          <w:rFonts w:ascii="KaiTi_GB2312" w:hAnsi="KaiTi_GB2312" w:eastAsia="KaiTi_GB2312" w:cs="KaiTi_GB2312"/>
          <w:spacing w:val="10"/>
          <w:sz w:val="31"/>
          <w:szCs w:val="31"/>
        </w:rPr>
        <w:t>的现代化城市。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围绕区域融合发展，建设新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型智慧城市、提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升城市功能品质，创造乡村优质生活空间等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，在深度参与省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会经济圈建设、优化城镇布局、小城镇创新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提升、城市数字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化转型、推动城市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物联、数联、智联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建设、推进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智慧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+”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应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用服务创新、构建城市综合管理服务体系、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优化城市总体布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局、推进城市更新、提升城市管理水平、推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动乡村全面振兴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与新型城镇化有机结合、农村人居环境整治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提升、推进城乡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基本公共服务均等化、新时代农村精神文明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建设等方面开展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研究。</w:t>
      </w:r>
    </w:p>
    <w:p w14:paraId="06C099A2">
      <w:pPr>
        <w:spacing w:before="252" w:line="350" w:lineRule="auto"/>
        <w:ind w:left="13" w:right="185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（五）打造安居乐业、和谐稳定、以人为本、富有温度的幸福城市。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围绕高质量充分就业、推进社会事业发展、提升社会治理水平等，在新就业群体服务保障、巩固脱贫攻坚成果、中医药传承创新、重大疾病和重点传染病防治、完善医疗保障体系、健全社会救助体系、深化双拥共建、化解历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史遗留问题、坚持和发展新时代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枫桥经验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、加强社会治安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整体防控体系和能力建设等方面开展研究。</w:t>
      </w:r>
    </w:p>
    <w:p w14:paraId="4A6487B7">
      <w:pPr>
        <w:spacing w:line="35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701" w:bottom="1141" w:left="1705" w:header="0" w:footer="928" w:gutter="0"/>
          <w:cols w:space="720" w:num="1"/>
        </w:sectPr>
      </w:pPr>
    </w:p>
    <w:p w14:paraId="573341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99E04">
    <w:pPr>
      <w:spacing w:line="176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9"/>
        <w:w w:val="97"/>
        <w:sz w:val="18"/>
        <w:szCs w:val="18"/>
      </w:rPr>
      <w:t>—</w:t>
    </w:r>
    <w:r>
      <w:rPr>
        <w:rFonts w:ascii="Arial" w:hAnsi="Arial" w:eastAsia="Arial" w:cs="Arial"/>
        <w:spacing w:val="23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w w:val="97"/>
        <w:sz w:val="24"/>
        <w:szCs w:val="24"/>
      </w:rPr>
      <w:t>5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Arial" w:hAnsi="Arial" w:eastAsia="Arial" w:cs="Arial"/>
        <w:w w:val="97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32F7E">
    <w:pPr>
      <w:spacing w:line="304" w:lineRule="exact"/>
      <w:ind w:left="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6"/>
        <w:w w:val="99"/>
        <w:position w:val="1"/>
        <w:sz w:val="18"/>
        <w:szCs w:val="18"/>
      </w:rPr>
      <w:t>—</w:t>
    </w:r>
    <w:r>
      <w:rPr>
        <w:rFonts w:ascii="Arial" w:hAnsi="Arial" w:eastAsia="Arial" w:cs="Arial"/>
        <w:spacing w:val="22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w w:val="99"/>
        <w:position w:val="1"/>
        <w:sz w:val="24"/>
        <w:szCs w:val="24"/>
      </w:rPr>
      <w:t>6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6"/>
        <w:w w:val="99"/>
        <w:position w:val="1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C6D8">
    <w:pPr>
      <w:spacing w:line="176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7"/>
        <w:w w:val="97"/>
        <w:sz w:val="18"/>
        <w:szCs w:val="18"/>
      </w:rPr>
      <w:t>—</w:t>
    </w:r>
    <w:r>
      <w:rPr>
        <w:rFonts w:ascii="Arial" w:hAnsi="Arial" w:eastAsia="Arial" w:cs="Arial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w w:val="97"/>
        <w:sz w:val="24"/>
        <w:szCs w:val="24"/>
      </w:rPr>
      <w:t>7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Arial" w:hAnsi="Arial" w:eastAsia="Arial" w:cs="Arial"/>
        <w:spacing w:val="-1"/>
        <w:w w:val="97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53"/>
      <w:szCs w:val="5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2026-04-24T02:42:52Z</dcterms:created>
  <dc:creator>lenovo</dc:creator>
  <cp:lastModifiedBy>阿布</cp:lastModifiedBy>
  <dcterms:modified xsi:type="dcterms:W3CDTF">2026-04-24T02:43:14Z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eyJoZGlkIjoiOTM0YzE0OTBjNmVjMWE0ZTJmZTkxOTFjNWQ5N2Y4YjMiLCJ1c2VySWQiOiIzNDg2ODUyMTcifQ==</vt:lpwstr>
  </property>
  <property fmtid="{D5CDD505-2E9C-101B-9397-08002B2CF9AE}" pid="4" name="ICV">
    <vt:lpwstr>C2C058F650194A23ACE796D7919F86A1_12</vt:lpwstr>
  </property>
</Properties>
</file>